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9B" w:rsidRPr="0035719B" w:rsidRDefault="0035719B" w:rsidP="0035719B">
      <w:pPr>
        <w:jc w:val="right"/>
        <w:rPr>
          <w:rFonts w:asciiTheme="majorHAnsi" w:hAnsiTheme="majorHAnsi" w:cs="Arial"/>
          <w:b/>
          <w:bCs/>
          <w:sz w:val="24"/>
          <w:szCs w:val="28"/>
        </w:rPr>
      </w:pPr>
      <w:r>
        <w:rPr>
          <w:rFonts w:asciiTheme="majorHAnsi" w:hAnsiTheme="majorHAnsi" w:cs="Arial"/>
          <w:b/>
          <w:bCs/>
          <w:sz w:val="24"/>
          <w:szCs w:val="28"/>
        </w:rPr>
        <w:t>Příloha č. 2c</w:t>
      </w:r>
    </w:p>
    <w:p w:rsidR="0075740B" w:rsidRDefault="00383A13" w:rsidP="00383A13">
      <w:pPr>
        <w:jc w:val="center"/>
        <w:rPr>
          <w:sz w:val="36"/>
          <w:szCs w:val="36"/>
        </w:rPr>
      </w:pPr>
      <w:r w:rsidRPr="00383A13">
        <w:rPr>
          <w:rFonts w:asciiTheme="majorHAnsi" w:hAnsiTheme="majorHAnsi" w:cs="Arial"/>
          <w:b/>
          <w:bCs/>
          <w:sz w:val="28"/>
          <w:szCs w:val="28"/>
        </w:rPr>
        <w:t>Národní knihovna Č</w:t>
      </w:r>
      <w:r>
        <w:rPr>
          <w:rFonts w:asciiTheme="majorHAnsi" w:hAnsiTheme="majorHAnsi" w:cs="Arial"/>
          <w:b/>
          <w:bCs/>
          <w:sz w:val="28"/>
          <w:szCs w:val="28"/>
        </w:rPr>
        <w:t>eské republiky</w:t>
      </w:r>
    </w:p>
    <w:p w:rsidR="0075740B" w:rsidRDefault="0075740B" w:rsidP="00383A13">
      <w:pPr>
        <w:pStyle w:val="Nadpis1"/>
        <w:jc w:val="center"/>
        <w:rPr>
          <w:sz w:val="36"/>
          <w:szCs w:val="36"/>
        </w:rPr>
      </w:pPr>
    </w:p>
    <w:p w:rsidR="0075740B" w:rsidRDefault="0075740B" w:rsidP="00383A13">
      <w:pPr>
        <w:pStyle w:val="Nadpis1"/>
        <w:jc w:val="center"/>
        <w:rPr>
          <w:sz w:val="36"/>
          <w:szCs w:val="36"/>
        </w:rPr>
      </w:pPr>
    </w:p>
    <w:p w:rsidR="00022BD7" w:rsidRPr="0075740B" w:rsidRDefault="00D85457" w:rsidP="00383A13">
      <w:pPr>
        <w:pStyle w:val="Nadpis1"/>
        <w:jc w:val="center"/>
        <w:rPr>
          <w:sz w:val="36"/>
          <w:szCs w:val="36"/>
        </w:rPr>
      </w:pPr>
      <w:r w:rsidRPr="00383A13">
        <w:rPr>
          <w:sz w:val="36"/>
          <w:szCs w:val="36"/>
        </w:rPr>
        <w:t>Manuál</w:t>
      </w:r>
      <w:r w:rsidRPr="0075740B">
        <w:rPr>
          <w:sz w:val="36"/>
          <w:szCs w:val="36"/>
        </w:rPr>
        <w:t xml:space="preserve"> pro uživatele programu pro výpočet minimálního počtu přežívajících svazků</w:t>
      </w:r>
      <w:r w:rsidR="001B3378">
        <w:rPr>
          <w:sz w:val="36"/>
          <w:szCs w:val="36"/>
        </w:rPr>
        <w:t xml:space="preserve"> knih</w:t>
      </w:r>
    </w:p>
    <w:p w:rsidR="0075740B" w:rsidRDefault="0075740B" w:rsidP="00383A13">
      <w:pPr>
        <w:jc w:val="center"/>
      </w:pPr>
    </w:p>
    <w:p w:rsidR="0075740B" w:rsidRDefault="0075740B" w:rsidP="00383A13">
      <w:pPr>
        <w:jc w:val="center"/>
      </w:pPr>
    </w:p>
    <w:p w:rsidR="0075740B" w:rsidRDefault="0075740B" w:rsidP="00383A13">
      <w:pPr>
        <w:jc w:val="both"/>
      </w:pPr>
    </w:p>
    <w:p w:rsidR="0075740B" w:rsidRDefault="0075740B" w:rsidP="00383A13">
      <w:r>
        <w:t>Autoři:</w:t>
      </w:r>
      <w:r>
        <w:br/>
        <w:t>Ing. Tomáš Godula, Ph.D.</w:t>
      </w:r>
      <w:r>
        <w:br/>
        <w:t>Ing. Petra Vávrová, Ph.D.</w:t>
      </w:r>
    </w:p>
    <w:p w:rsidR="0075740B" w:rsidRDefault="0075740B" w:rsidP="00383A13"/>
    <w:p w:rsidR="0075740B" w:rsidRDefault="0075740B" w:rsidP="00383A13">
      <w:r>
        <w:t>Grafický poradce:</w:t>
      </w:r>
      <w:r>
        <w:br/>
        <w:t>Tereza Sazamová</w:t>
      </w:r>
    </w:p>
    <w:p w:rsidR="0075740B" w:rsidRDefault="0075740B" w:rsidP="00383A13">
      <w:r>
        <w:t>Supervize:</w:t>
      </w:r>
      <w:r>
        <w:br/>
        <w:t>Mgr. Tomáš Foltýn</w:t>
      </w:r>
    </w:p>
    <w:p w:rsidR="0075740B" w:rsidRDefault="0075740B" w:rsidP="00383A13">
      <w:r>
        <w:t>Verze:</w:t>
      </w:r>
      <w:r>
        <w:br/>
        <w:t>3.13.0</w:t>
      </w:r>
    </w:p>
    <w:p w:rsidR="0075740B" w:rsidRDefault="0075740B" w:rsidP="00383A13">
      <w:r>
        <w:t>Rok vydání:</w:t>
      </w:r>
      <w:r>
        <w:br/>
        <w:t>2015</w:t>
      </w:r>
    </w:p>
    <w:p w:rsidR="0075740B" w:rsidRDefault="0075740B" w:rsidP="00383A13">
      <w:pPr>
        <w:jc w:val="both"/>
      </w:pPr>
    </w:p>
    <w:p w:rsidR="0075740B" w:rsidRDefault="0075740B" w:rsidP="00383A13">
      <w:pPr>
        <w:jc w:val="both"/>
      </w:pPr>
    </w:p>
    <w:p w:rsidR="0075740B" w:rsidRPr="0075740B" w:rsidRDefault="0075740B" w:rsidP="00383A13">
      <w:pPr>
        <w:jc w:val="both"/>
      </w:pPr>
    </w:p>
    <w:p w:rsidR="0075740B" w:rsidRDefault="0075740B" w:rsidP="00383A13">
      <w:pPr>
        <w:jc w:val="both"/>
      </w:pPr>
      <w:r>
        <w:br w:type="page"/>
      </w:r>
    </w:p>
    <w:p w:rsidR="001B3378" w:rsidRPr="001B3378" w:rsidRDefault="001B3378" w:rsidP="009D7062">
      <w:pPr>
        <w:pStyle w:val="Nadpis2"/>
        <w:numPr>
          <w:ilvl w:val="0"/>
          <w:numId w:val="2"/>
        </w:numPr>
        <w:spacing w:line="360" w:lineRule="auto"/>
        <w:jc w:val="both"/>
      </w:pPr>
      <w:r w:rsidRPr="001B3378">
        <w:lastRenderedPageBreak/>
        <w:t>Úvod</w:t>
      </w:r>
    </w:p>
    <w:p w:rsidR="001B3378" w:rsidRPr="00383A13" w:rsidRDefault="00D02BEB" w:rsidP="00383A13">
      <w:pPr>
        <w:spacing w:line="360" w:lineRule="auto"/>
        <w:jc w:val="both"/>
        <w:rPr>
          <w:rFonts w:cs="Arial"/>
          <w:bCs/>
        </w:rPr>
      </w:pPr>
      <w:r w:rsidRPr="001B3378">
        <w:t xml:space="preserve">Tento program </w:t>
      </w:r>
      <w:r w:rsidR="001B3378" w:rsidRPr="001B3378">
        <w:t xml:space="preserve">pro výpočet minimálního počtu přežívajících svazků knih </w:t>
      </w:r>
      <w:r w:rsidRPr="001B3378">
        <w:t>byl vytvořen pro projekt NAKI</w:t>
      </w:r>
      <w:r w:rsidR="001B3378" w:rsidRPr="001B3378">
        <w:t xml:space="preserve"> </w:t>
      </w:r>
      <w:r w:rsidR="001B3378" w:rsidRPr="00383A13">
        <w:rPr>
          <w:rFonts w:cs="Arial"/>
          <w:bCs/>
        </w:rPr>
        <w:t>„Vytvoření kooperativního systému pro budování a správu novodobých konzervačních knižních sbírek v České republice a vývoj potřebných nástrojů“, identifikační kód projektu: DF12P01OVV007.</w:t>
      </w:r>
    </w:p>
    <w:p w:rsidR="001B3378" w:rsidRDefault="00383A13" w:rsidP="009D7062">
      <w:pPr>
        <w:pStyle w:val="Nadpis2"/>
        <w:numPr>
          <w:ilvl w:val="0"/>
          <w:numId w:val="2"/>
        </w:numPr>
        <w:spacing w:line="360" w:lineRule="auto"/>
        <w:jc w:val="both"/>
      </w:pPr>
      <w:r>
        <w:t>Techni</w:t>
      </w:r>
      <w:bookmarkStart w:id="0" w:name="_GoBack"/>
      <w:bookmarkEnd w:id="0"/>
      <w:r>
        <w:t>cké specifikace a funkce programu</w:t>
      </w:r>
    </w:p>
    <w:p w:rsidR="00D02BEB" w:rsidRDefault="00D02BEB" w:rsidP="00383A13">
      <w:pPr>
        <w:spacing w:line="360" w:lineRule="auto"/>
        <w:jc w:val="both"/>
      </w:pPr>
      <w:r>
        <w:t xml:space="preserve">Po spuštění programu </w:t>
      </w:r>
      <w:r w:rsidR="00383A13" w:rsidRPr="001B3378">
        <w:t xml:space="preserve">pro výpočet minimálního počtu přežívajících svazků knih </w:t>
      </w:r>
      <w:r>
        <w:t>je uživatel v krátkosti seznámen s názvem programu, jeho verzí a jménem programátora, což může nalézt na oficiálním logu Národní knihovny</w:t>
      </w:r>
      <w:r w:rsidR="00383A13">
        <w:t xml:space="preserve"> České republiky</w:t>
      </w:r>
      <w:r>
        <w:t xml:space="preserve">. </w:t>
      </w:r>
    </w:p>
    <w:p w:rsidR="00D85457" w:rsidRDefault="00D02BEB" w:rsidP="00383A13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3260785" cy="1997067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44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EB" w:rsidRPr="00D85457" w:rsidRDefault="00D02BEB" w:rsidP="00383A13">
      <w:pPr>
        <w:spacing w:line="360" w:lineRule="auto"/>
        <w:jc w:val="both"/>
      </w:pPr>
    </w:p>
    <w:p w:rsidR="00D964A0" w:rsidRDefault="00D02BEB" w:rsidP="00383A13">
      <w:pPr>
        <w:spacing w:line="360" w:lineRule="auto"/>
        <w:jc w:val="both"/>
      </w:pPr>
      <w:r>
        <w:t xml:space="preserve">Toto </w:t>
      </w:r>
      <w:r w:rsidR="0075740B">
        <w:t xml:space="preserve">úvodní </w:t>
      </w:r>
      <w:r w:rsidR="001B3378">
        <w:t>okno po několika</w:t>
      </w:r>
      <w:r>
        <w:t xml:space="preserve"> vteřinách zmizí a uživateli se otevře hlavní dialogové okno pro výpočet indexu PI.</w:t>
      </w:r>
    </w:p>
    <w:p w:rsidR="0075740B" w:rsidRDefault="00383A13" w:rsidP="00383A13">
      <w:pPr>
        <w:spacing w:line="360" w:lineRule="auto"/>
        <w:jc w:val="both"/>
      </w:pPr>
      <w:r>
        <w:t xml:space="preserve">V následujícím textu jsou představeny funkce programu </w:t>
      </w:r>
      <w:r w:rsidRPr="001B3378">
        <w:t>pro výpočet minimálního počtu přežívajících svazků knih</w:t>
      </w:r>
      <w:r>
        <w:t xml:space="preserve"> a názorný návod, jak s programem pracovat. Vše je názorně vysvětleno i na konkrétních příkladech</w:t>
      </w:r>
      <w:r w:rsidR="00820C89">
        <w:t>, všechny kroky jsou ilustrovány na obrázcích konkrétních polí programu</w:t>
      </w:r>
      <w:r>
        <w:t xml:space="preserve">.  </w:t>
      </w:r>
    </w:p>
    <w:p w:rsidR="0075740B" w:rsidRDefault="0075740B" w:rsidP="009D7062">
      <w:pPr>
        <w:pStyle w:val="Nadpis2"/>
        <w:spacing w:line="360" w:lineRule="auto"/>
        <w:ind w:left="360"/>
        <w:jc w:val="both"/>
      </w:pPr>
      <w:r>
        <w:t>Výpočet indexu PI</w:t>
      </w:r>
    </w:p>
    <w:p w:rsidR="0075740B" w:rsidRPr="0075740B" w:rsidRDefault="0075740B" w:rsidP="00383A13">
      <w:pPr>
        <w:spacing w:line="360" w:lineRule="auto"/>
        <w:jc w:val="both"/>
      </w:pPr>
      <w:r>
        <w:t>První dialogové okno, které uživatel uvidí po spuštění programu, je věnováno výpočtu indexu přežívání (uchování)</w:t>
      </w:r>
      <w:r w:rsidR="001B3378">
        <w:t xml:space="preserve"> daného exempláře knihy</w:t>
      </w:r>
      <w:r>
        <w:t>, anglicky Preservation index</w:t>
      </w:r>
      <w:r w:rsidR="001B3378">
        <w:t xml:space="preserve"> (PI)</w:t>
      </w:r>
      <w:r>
        <w:t>. Tento index vychází z hodnot naměřených za klimatických podmínek při uložení knih a jiných nosičů informací</w:t>
      </w:r>
      <w:r w:rsidR="001B3378">
        <w:t>, konkrétně teploty (T) a relativní vlhkosti (RH) vzduchu</w:t>
      </w:r>
      <w:r>
        <w:t>. Obsahuje desetinné číslo, které vypovídá, po jakou dobu je svazek</w:t>
      </w:r>
      <w:r w:rsidR="00871611">
        <w:t xml:space="preserve"> schopen přežít</w:t>
      </w:r>
      <w:r>
        <w:t xml:space="preserve"> za zvolených klimatických podmínek při jeho uložení</w:t>
      </w:r>
      <w:r w:rsidR="00871611">
        <w:t xml:space="preserve">. </w:t>
      </w:r>
    </w:p>
    <w:p w:rsidR="00D02BEB" w:rsidRDefault="00D02BEB" w:rsidP="00383A13">
      <w:pPr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409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44" w:rsidRDefault="00D02BEB" w:rsidP="00383A13">
      <w:pPr>
        <w:spacing w:line="360" w:lineRule="auto"/>
        <w:jc w:val="both"/>
      </w:pPr>
      <w:r>
        <w:t>V horní části</w:t>
      </w:r>
      <w:r w:rsidR="00871611">
        <w:t xml:space="preserve"> tohoto dialogového</w:t>
      </w:r>
      <w:r w:rsidR="001B3378">
        <w:t xml:space="preserve"> okna je umístěno logo</w:t>
      </w:r>
      <w:r>
        <w:t xml:space="preserve">. Níže je možné vidět navigační tlačítka, která přepínají mezi dialogovými okny. Prvním tlačítkem zleva je „Spočítat ručně časově vážený index PI (TWPI)“ a toto tlačítko přejde po jeho stisknutí do dialogového okna, kde může uživatel zvolit parametry a následně vypočítat index TWPI. Prostřední tlačítko nazvané „Spočítat ručně minimální počet přežívajících svazku“ po jeho stisknutí zobrazí uživateli dialogové okno pro výpočet </w:t>
      </w:r>
      <w:r w:rsidR="0075740B">
        <w:t>minimálního počtu svazků, které přežijí po zadanou dobu. Obě dialogová okna budou podrobněji popsána v textu dále.</w:t>
      </w:r>
      <w:r w:rsidR="00C31544">
        <w:t xml:space="preserve"> Černým tlačítkem je možné kdykoli ukončit chod programu a vrátit se do Windows.</w:t>
      </w:r>
    </w:p>
    <w:p w:rsidR="00C31544" w:rsidRDefault="00871611" w:rsidP="00383A13">
      <w:pPr>
        <w:spacing w:line="360" w:lineRule="auto"/>
        <w:jc w:val="both"/>
      </w:pPr>
      <w:r>
        <w:t>V</w:t>
      </w:r>
      <w:r w:rsidR="00BA2740">
        <w:t xml:space="preserve">  </w:t>
      </w:r>
      <w:r>
        <w:t xml:space="preserve">orámované </w:t>
      </w:r>
      <w:r w:rsidR="00BA2740">
        <w:t>části se zeleně podbarveným nadpisem „Spočítat pouze jednu hodnotu PI“ je možné nastavit hodnotu teplo</w:t>
      </w:r>
      <w:r w:rsidR="001B3378">
        <w:t xml:space="preserve">ty vzduchu a relativní vlhkosti </w:t>
      </w:r>
      <w:r w:rsidR="00BA2740">
        <w:t xml:space="preserve">vzduchu při uložení svazku. Hodnoty je možné vepsat za užití klávesnice, nebo využít šipky v pravé straně políčka. Zároveň jsou zobrazeny dvě důležité hodnoty pro teplotu ve stupních Fahrenheita (nad políčkem teploty ve stupních Celsia) a teplota rosného bodu pod políčkem s relativní vlhkostí vzduchu. Tyto dvě hodnoty není možné měnit a vycházejí z volených hodnot. </w:t>
      </w:r>
      <w:r w:rsidR="00C31544">
        <w:t xml:space="preserve">Výpočet teploty rosného bodu vychází ze známého a rozšířeného vzorce: </w:t>
      </w:r>
    </w:p>
    <w:p w:rsidR="00C31544" w:rsidRDefault="00C31544" w:rsidP="009D7062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2466975" cy="621030"/>
            <wp:effectExtent l="0" t="0" r="9525" b="7620"/>
            <wp:docPr id="18" name="Obrázek 18" descr="T_{dp} = \frac{243,5 \ln(\frac{V}{100} \cdot e^{\frac{17,67 \cdot T}{243,5+T}})}{17,67-\ln(\frac{V}{100} \cdot e^{\frac{17,67 \cdot T}{243,5+T}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{dp} = \frac{243,5 \ln(\frac{V}{100} \cdot e^{\frac{17,67 \cdot T}{243,5+T}})}{17,67-\ln(\frac{V}{100} \cdot e^{\frac{17,67 \cdot T}{243,5+T}})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44" w:rsidRPr="00866114" w:rsidRDefault="00C31544" w:rsidP="00383A13">
      <w:pPr>
        <w:spacing w:line="360" w:lineRule="auto"/>
        <w:jc w:val="both"/>
      </w:pPr>
      <w:r>
        <w:lastRenderedPageBreak/>
        <w:t xml:space="preserve">kde </w:t>
      </w:r>
      <w:r w:rsidRPr="00182C04">
        <w:rPr>
          <w:i/>
        </w:rPr>
        <w:t>T</w:t>
      </w:r>
      <w:r w:rsidRPr="00182C04">
        <w:rPr>
          <w:i/>
          <w:vertAlign w:val="subscript"/>
        </w:rPr>
        <w:t>dp</w:t>
      </w:r>
      <w:r>
        <w:rPr>
          <w:i/>
        </w:rPr>
        <w:t xml:space="preserve"> </w:t>
      </w:r>
      <w:r>
        <w:t xml:space="preserve">je teplota rosného bodu ve stupních Celsia, </w:t>
      </w:r>
      <w:r w:rsidRPr="00182C04">
        <w:rPr>
          <w:i/>
        </w:rPr>
        <w:t>V</w:t>
      </w:r>
      <w:r>
        <w:t xml:space="preserve"> je relativní vlhkost vzduchu v procentech a </w:t>
      </w:r>
      <w:r w:rsidRPr="00182C04">
        <w:rPr>
          <w:i/>
        </w:rPr>
        <w:t>T</w:t>
      </w:r>
      <w:r>
        <w:t xml:space="preserve"> je teplota vzduchu ve stupních Celsia. Ln a </w:t>
      </w:r>
      <w:r w:rsidRPr="00182C04">
        <w:rPr>
          <w:i/>
        </w:rPr>
        <w:t>e</w:t>
      </w:r>
      <w:r>
        <w:t xml:space="preserve"> označují přirozený logaritmus a Eulerovu konstantu. </w:t>
      </w:r>
    </w:p>
    <w:p w:rsidR="00C31544" w:rsidRDefault="00BA2740" w:rsidP="00383A13">
      <w:pPr>
        <w:spacing w:line="360" w:lineRule="auto"/>
        <w:jc w:val="both"/>
      </w:pPr>
      <w:r>
        <w:t xml:space="preserve">Jakmile jsou hodnoty nastaveny, je nezbytné kliknout na tlačítko „Spočítat“. Program </w:t>
      </w:r>
      <w:r w:rsidR="00C31544">
        <w:t>vypočte</w:t>
      </w:r>
      <w:r>
        <w:t xml:space="preserve"> dle svého vnitřního algoritmu</w:t>
      </w:r>
      <w:r w:rsidR="00C31544">
        <w:t xml:space="preserve"> hodnotu indexu PI, která je zobrazena vpravo od tlačítka „Spočítat“. </w:t>
      </w:r>
    </w:p>
    <w:p w:rsidR="00871611" w:rsidRDefault="00C31544" w:rsidP="00383A13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760720" cy="341013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EB" w:rsidRDefault="00C31544" w:rsidP="00383A13">
      <w:pPr>
        <w:spacing w:line="360" w:lineRule="auto"/>
        <w:jc w:val="both"/>
      </w:pPr>
      <w:r>
        <w:t>Desetinné číslo v orámovaném poli PI je hodnota v letech, pod tímto polem se pro uživatelovu představu přepočte desetinná hodnota na přibližný počet celých let a měsíců.</w:t>
      </w:r>
      <w:r w:rsidR="009806AC">
        <w:t xml:space="preserve"> Tento výsledek je pro okamžitou představu o životnosti exempláře mnohem užitečnější. </w:t>
      </w:r>
    </w:p>
    <w:p w:rsidR="009806AC" w:rsidRDefault="003C4B9D" w:rsidP="00383A13">
      <w:pPr>
        <w:spacing w:line="360" w:lineRule="auto"/>
        <w:jc w:val="both"/>
      </w:pPr>
      <w:r>
        <w:t>Krom</w:t>
      </w:r>
      <w:r w:rsidR="009806AC">
        <w:t>ě</w:t>
      </w:r>
      <w:r>
        <w:t xml:space="preserve"> možnosti spočítat jeden index PI z jedné sady hodnot teploty a relativní vlhkosti </w:t>
      </w:r>
      <w:r w:rsidR="009806AC">
        <w:t xml:space="preserve">vzduchu </w:t>
      </w:r>
      <w:r>
        <w:t>může uživatel po spočtení indexu PI v horní části zvolit možnost „</w:t>
      </w:r>
      <w:r w:rsidR="00E67C61">
        <w:t>Spočítat rozdíl mezi dvěma hodnotami PI</w:t>
      </w:r>
      <w:r>
        <w:t>“</w:t>
      </w:r>
      <w:r w:rsidR="00E67C61">
        <w:t xml:space="preserve"> a program mu povolí zvolit druhou sadu </w:t>
      </w:r>
      <w:r w:rsidR="009806AC">
        <w:t xml:space="preserve">hodnot </w:t>
      </w:r>
      <w:r w:rsidR="00E67C61">
        <w:t>teploty a relativní vlhkosti</w:t>
      </w:r>
      <w:r w:rsidR="009806AC">
        <w:t xml:space="preserve"> vzduchu, potom</w:t>
      </w:r>
      <w:r w:rsidR="00E67C61">
        <w:t xml:space="preserve"> spočítat druhý index PI a přitom je uživateli automaticky ukázán rozdíl mezi oběma hodnotami. </w:t>
      </w:r>
      <w:r w:rsidR="009806AC">
        <w:t xml:space="preserve">Tyto výsledky slouží k rychlému rozhodování kurátorů, pracovníků ochrany např. při ukládání do depozitářů s danými parametry, při rozhodování o vystavení knih, apod. Získané výsledky mohou také sloužit k argumentaci pro nastavení jiných podmínek pro uložení knih. </w:t>
      </w:r>
    </w:p>
    <w:p w:rsidR="009806AC" w:rsidRDefault="00E67C61" w:rsidP="00383A13">
      <w:pPr>
        <w:spacing w:line="360" w:lineRule="auto"/>
        <w:jc w:val="both"/>
      </w:pPr>
      <w:r>
        <w:t>Program</w:t>
      </w:r>
      <w:r w:rsidR="00C31544">
        <w:t xml:space="preserve"> opět</w:t>
      </w:r>
      <w:r>
        <w:t xml:space="preserve"> pod zvýrazněným políčkem pro hodnotu</w:t>
      </w:r>
      <w:r w:rsidR="00C31544">
        <w:t xml:space="preserve"> rozdílu</w:t>
      </w:r>
      <w:r>
        <w:t xml:space="preserve"> index</w:t>
      </w:r>
      <w:r w:rsidR="00C31544">
        <w:t>ů</w:t>
      </w:r>
      <w:r>
        <w:t xml:space="preserve"> PI přepočte desetinné číslo indexu PI na přibližný počet let a měsíců</w:t>
      </w:r>
      <w:r w:rsidR="0069622E">
        <w:t>, pokud se nejedná právě o celý počet měsíců</w:t>
      </w:r>
      <w:r>
        <w:t xml:space="preserve">. </w:t>
      </w:r>
      <w:r w:rsidR="009806AC">
        <w:t>Tyto údaje jsou mnohem srozumitelnější pro rozhodování o uložení knih a lze je velmi rychle srovnávat, argumentace je mnohem konkrétnější. Toto vše je zachyceno na obrázku níže.</w:t>
      </w:r>
    </w:p>
    <w:p w:rsidR="009806AC" w:rsidRDefault="009806AC" w:rsidP="00383A13">
      <w:pPr>
        <w:spacing w:line="360" w:lineRule="auto"/>
        <w:jc w:val="both"/>
      </w:pPr>
    </w:p>
    <w:p w:rsidR="0069622E" w:rsidRDefault="0069622E" w:rsidP="00383A13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760720" cy="341013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9D" w:rsidRDefault="00DA1F56" w:rsidP="00383A13">
      <w:pPr>
        <w:spacing w:line="360" w:lineRule="auto"/>
        <w:jc w:val="both"/>
      </w:pPr>
      <w:r>
        <w:t xml:space="preserve">Spočtený index PI </w:t>
      </w:r>
      <w:r w:rsidR="00C31544">
        <w:t>může uživatel</w:t>
      </w:r>
      <w:r>
        <w:t xml:space="preserve"> přímo přenést do dialogového okna s výpočtem minimálního počtu přežívajících svazků</w:t>
      </w:r>
      <w:r w:rsidR="00C31544">
        <w:t xml:space="preserve"> pomocí kliknutí na tmavě modré tlačítko „Přenést“</w:t>
      </w:r>
      <w:r>
        <w:t>, nebo jej uložit do očíslovaných</w:t>
      </w:r>
      <w:r w:rsidR="009D7062">
        <w:t xml:space="preserve"> </w:t>
      </w:r>
      <w:r>
        <w:t xml:space="preserve">tlačítek </w:t>
      </w:r>
      <w:r w:rsidR="009D7062">
        <w:t xml:space="preserve">(1-4) </w:t>
      </w:r>
      <w:r>
        <w:t xml:space="preserve">pro jedno z období určených pro výpočet časově váženého indexu PI (TWPI). </w:t>
      </w:r>
      <w:r w:rsidR="00C6244B">
        <w:t xml:space="preserve">Po vložení hodnoty do očíslovaného tlačítka se toto tlačítko na znamení vložení hodnoty zbarví zeleně. </w:t>
      </w:r>
      <w:r>
        <w:t>Uživatel může</w:t>
      </w:r>
      <w:r w:rsidR="00C6244B">
        <w:t xml:space="preserve"> spočtenými hodnotami indexu PI</w:t>
      </w:r>
      <w:r>
        <w:t xml:space="preserve"> naplnit všechna očíslovaná tlačítka pro 4 období, nebo jen některá z nich. Tyto maximálně čtyři hodnoty dosazené do očíslovaných tlačítek </w:t>
      </w:r>
      <w:r w:rsidR="00C6244B">
        <w:rPr>
          <w:rFonts w:eastAsiaTheme="minorEastAsia"/>
        </w:rPr>
        <w:t xml:space="preserve">(vložení se vždy indikuje zelenou barvou tlačítek) </w:t>
      </w:r>
      <w:r>
        <w:t xml:space="preserve">poté budou </w:t>
      </w:r>
      <w:r w:rsidR="003C4B9D">
        <w:t xml:space="preserve">automaticky přeneseny do dialogového okna s výpočtem TWPI po stisknutí světle modrého tlačítka </w:t>
      </w:r>
      <w:r w:rsidR="003C5E4E">
        <w:t>„</w:t>
      </w:r>
      <w:r w:rsidR="003C4B9D" w:rsidRPr="003C5E4E">
        <w:t>Přenést</w:t>
      </w:r>
      <w:r w:rsidR="003C5E4E" w:rsidRPr="003C5E4E">
        <w:t>“</w:t>
      </w:r>
      <w:r w:rsidR="00C6244B" w:rsidRPr="00C6244B">
        <w:t xml:space="preserve"> vpravo od očíslovaných tlačítek pro období</w:t>
      </w:r>
      <w:r w:rsidR="003C4B9D">
        <w:t>, jak je znázorněno na dalším obrázku.</w:t>
      </w:r>
    </w:p>
    <w:p w:rsidR="00403173" w:rsidRDefault="003C4B9D" w:rsidP="00383A13">
      <w:pPr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41013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4B" w:rsidRDefault="00C6244B" w:rsidP="00383A13">
      <w:pPr>
        <w:spacing w:line="360" w:lineRule="auto"/>
        <w:jc w:val="both"/>
      </w:pPr>
    </w:p>
    <w:p w:rsidR="00C6244B" w:rsidRDefault="00C6244B" w:rsidP="009D7062">
      <w:pPr>
        <w:pStyle w:val="Nadpis2"/>
        <w:spacing w:line="360" w:lineRule="auto"/>
        <w:ind w:left="360"/>
        <w:jc w:val="both"/>
      </w:pPr>
      <w:r>
        <w:t>Časově vážený index PI (</w:t>
      </w:r>
      <w:r w:rsidR="00935FC8" w:rsidRPr="002D43B4">
        <w:rPr>
          <w:noProof/>
          <w:lang w:eastAsia="cs-CZ"/>
        </w:rPr>
        <w:t>Time Weighted Preservation Index</w:t>
      </w:r>
      <w:r w:rsidR="00935FC8">
        <w:t xml:space="preserve">, </w:t>
      </w:r>
      <w:r>
        <w:t xml:space="preserve">TWPI) </w:t>
      </w:r>
    </w:p>
    <w:p w:rsidR="00820C89" w:rsidRDefault="00C6244B" w:rsidP="00820C89">
      <w:pPr>
        <w:spacing w:line="360" w:lineRule="auto"/>
        <w:jc w:val="both"/>
      </w:pPr>
      <w:r>
        <w:t xml:space="preserve">Toto dialogové okno je přizpůsobeno pro uživatele, kteří chtějí počítat index PI pro určitá časová období s odlišnými klimatickými podmínkami </w:t>
      </w:r>
      <w:r w:rsidR="00935FC8">
        <w:t xml:space="preserve">při dlouhodobém </w:t>
      </w:r>
      <w:r>
        <w:t>uložení svazků. Jedná se např. o změnu klimatu v průběhu ročních období nebo také o změnu podmínek v průběhu let</w:t>
      </w:r>
      <w:r w:rsidR="00935FC8">
        <w:t>, přesun exemplářů mezi depozitáři, převoz na výstavu apod</w:t>
      </w:r>
      <w:r>
        <w:t>.</w:t>
      </w:r>
    </w:p>
    <w:p w:rsidR="00820C89" w:rsidRDefault="00C6244B" w:rsidP="00820C89">
      <w:pPr>
        <w:spacing w:line="360" w:lineRule="auto"/>
        <w:jc w:val="both"/>
      </w:pPr>
      <w:r w:rsidRPr="00820C89">
        <w:t>Vzhled tohoto dialogového okna byl zvolen tak, aby dal uživateli možnost volby počtu období (jedno až maximálně čtyři)</w:t>
      </w:r>
      <w:r w:rsidR="003C5E4E" w:rsidRPr="00820C89">
        <w:t xml:space="preserve">. V horní části pod obrázkem </w:t>
      </w:r>
      <w:r w:rsidR="00935FC8" w:rsidRPr="00820C89">
        <w:t xml:space="preserve">loga </w:t>
      </w:r>
      <w:r w:rsidR="003C5E4E" w:rsidRPr="00820C89">
        <w:t>se opět nachází tlačítko pro přechod k výp</w:t>
      </w:r>
      <w:r w:rsidR="009D7062" w:rsidRPr="00820C89">
        <w:t>očtu indexu PI (viz kapitola Výpočet indexu PI</w:t>
      </w:r>
      <w:r w:rsidR="003C5E4E" w:rsidRPr="00820C89">
        <w:t>) a tlačítko pro okamžité ukončení programu a návrat do Windows. V orámovaných částech je možné vepsat nebo si nechat programem přenést hodnoty indexu PI a pro každý takový index PI si zvolit délku trvání odpovídajícího období. Délku období je nutné volit vždy ve stejných jednotkách, není možné zadat první období v měsících a jiné v </w:t>
      </w:r>
      <w:r w:rsidR="00935FC8" w:rsidRPr="00820C89">
        <w:t>rocích</w:t>
      </w:r>
      <w:r w:rsidR="003C5E4E" w:rsidRPr="00820C89">
        <w:t>. Dbejte na konzistenci jednotek!</w:t>
      </w:r>
    </w:p>
    <w:p w:rsidR="00403173" w:rsidRPr="00820C89" w:rsidRDefault="003C4B9D" w:rsidP="00820C89">
      <w:pPr>
        <w:spacing w:line="360" w:lineRule="auto"/>
        <w:jc w:val="both"/>
      </w:pPr>
      <w:r w:rsidRPr="00820C89">
        <w:t>Výpočet TWPI je</w:t>
      </w:r>
      <w:r w:rsidR="00A946F3" w:rsidRPr="00820C89">
        <w:t xml:space="preserve"> funkcionalit</w:t>
      </w:r>
      <w:r w:rsidRPr="00820C89">
        <w:t>ou</w:t>
      </w:r>
      <w:r w:rsidR="00A946F3" w:rsidRPr="00820C89">
        <w:t xml:space="preserve"> vycház</w:t>
      </w:r>
      <w:r w:rsidRPr="00820C89">
        <w:t>ej</w:t>
      </w:r>
      <w:r w:rsidR="00A946F3" w:rsidRPr="00820C89">
        <w:t>í</w:t>
      </w:r>
      <w:r w:rsidRPr="00820C89">
        <w:t>cí</w:t>
      </w:r>
      <w:r w:rsidR="00A946F3" w:rsidRPr="00820C89">
        <w:t xml:space="preserve"> </w:t>
      </w:r>
      <w:r w:rsidR="008F3C46" w:rsidRPr="00820C89">
        <w:t xml:space="preserve">z v praxi hojně využívaného váženého průměru, který zobecňuje aritmetický průměr. V případě, že některé hodnoty </w:t>
      </w:r>
      <w:r w:rsidR="005F5986" w:rsidRPr="00820C89">
        <w:t>indexu PI mají vyšší důležitost (v našem případě delší časový úsek) než ostatní, bude jim přidělena vyšší váha. Program dovoluje uživateli možnost zvolit si až 4 období (volitelně stejně nebo různě dlouhá), přičemž v těchto obdobích</w:t>
      </w:r>
      <w:r w:rsidRPr="00820C89">
        <w:t xml:space="preserve"> lze</w:t>
      </w:r>
      <w:r w:rsidR="005F5986" w:rsidRPr="00820C89">
        <w:t xml:space="preserve"> mít různou hodnotu indexu PI. Je zřejmé, že pokud bude zvoleno pouze jedno období, bude mít váhu </w:t>
      </w:r>
      <w:r w:rsidRPr="00820C89">
        <w:t>100 </w:t>
      </w:r>
      <w:r w:rsidR="005F5986" w:rsidRPr="00820C89">
        <w:t xml:space="preserve">%. </w:t>
      </w:r>
    </w:p>
    <w:p w:rsidR="005F5986" w:rsidRPr="00403173" w:rsidRDefault="0069622E" w:rsidP="00383A13">
      <w:pPr>
        <w:spacing w:line="360" w:lineRule="auto"/>
        <w:jc w:val="both"/>
      </w:pPr>
      <w:r w:rsidRPr="0069622E">
        <w:rPr>
          <w:noProof/>
          <w:lang w:eastAsia="cs-CZ"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333786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73" w:rsidRDefault="005F5986" w:rsidP="00383A13">
      <w:pPr>
        <w:spacing w:line="360" w:lineRule="auto"/>
        <w:jc w:val="both"/>
      </w:pPr>
      <w:r>
        <w:t>TWPI bude v tomto případě roven přesně vloženému indexu PI pro jediné zadané období.</w:t>
      </w:r>
    </w:p>
    <w:p w:rsidR="005F5986" w:rsidRDefault="0069622E" w:rsidP="00383A13">
      <w:pPr>
        <w:spacing w:line="360" w:lineRule="auto"/>
        <w:jc w:val="both"/>
      </w:pPr>
      <w:r w:rsidRPr="0069622E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333786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73" w:rsidRDefault="005F5986" w:rsidP="00383A13">
      <w:pPr>
        <w:spacing w:line="360" w:lineRule="auto"/>
        <w:jc w:val="both"/>
      </w:pPr>
      <w:r>
        <w:t>Po zadání všech až čtyř hodnot pro čtyři různá období j</w:t>
      </w:r>
      <w:r w:rsidR="00A51B8B">
        <w:t xml:space="preserve">sou po kliknutí na tlačítko </w:t>
      </w:r>
      <w:r w:rsidR="003C5E4E">
        <w:t>„</w:t>
      </w:r>
      <w:r w:rsidR="00A51B8B" w:rsidRPr="003C5E4E">
        <w:t>Vložit (zafixovat období x)</w:t>
      </w:r>
      <w:r w:rsidR="003C5E4E" w:rsidRPr="003C5E4E">
        <w:t>“</w:t>
      </w:r>
      <w:r>
        <w:t xml:space="preserve"> spočítán</w:t>
      </w:r>
      <w:r w:rsidR="00A51B8B">
        <w:t>y váhy pro všechna období</w:t>
      </w:r>
      <w:r w:rsidR="0063311D">
        <w:t>.</w:t>
      </w:r>
      <w:r w:rsidR="00A51B8B">
        <w:t xml:space="preserve"> Pro stejně dlouhá období budou váhy stejné, jak je </w:t>
      </w:r>
      <w:r w:rsidR="00A51B8B">
        <w:lastRenderedPageBreak/>
        <w:t>ukázáno na následujícím obrázku.</w:t>
      </w:r>
      <w:r w:rsidR="00E62BA7">
        <w:t xml:space="preserve"> V</w:t>
      </w:r>
      <w:r w:rsidR="00866114">
        <w:t> </w:t>
      </w:r>
      <w:r w:rsidR="00E62BA7">
        <w:t>případě</w:t>
      </w:r>
      <w:r w:rsidR="00866114">
        <w:t>, kdy by byla všechna období stejně dlouhá,</w:t>
      </w:r>
      <w:r w:rsidR="00E62BA7">
        <w:t xml:space="preserve"> se vážený průměr</w:t>
      </w:r>
      <w:r w:rsidR="00866114">
        <w:t xml:space="preserve"> bude</w:t>
      </w:r>
      <w:r w:rsidR="00E62BA7">
        <w:t xml:space="preserve"> </w:t>
      </w:r>
      <w:r w:rsidR="00866114">
        <w:t xml:space="preserve">rovnat </w:t>
      </w:r>
      <w:r w:rsidR="00E62BA7">
        <w:t>aritmetickému.</w:t>
      </w:r>
    </w:p>
    <w:p w:rsidR="0063311D" w:rsidRDefault="00383A13" w:rsidP="00383A13">
      <w:pPr>
        <w:spacing w:line="360" w:lineRule="auto"/>
        <w:jc w:val="both"/>
        <w:rPr>
          <w:noProof/>
          <w:lang w:eastAsia="cs-CZ"/>
        </w:rPr>
      </w:pPr>
      <w:r w:rsidRPr="00383A13">
        <w:rPr>
          <w:noProof/>
          <w:lang w:eastAsia="cs-CZ"/>
        </w:rPr>
        <w:drawing>
          <wp:inline distT="0" distB="0" distL="0" distR="0">
            <wp:extent cx="5760720" cy="3337861"/>
            <wp:effectExtent l="0" t="0" r="0" b="0"/>
            <wp:docPr id="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A13">
        <w:rPr>
          <w:noProof/>
          <w:lang w:eastAsia="cs-CZ"/>
        </w:rPr>
        <w:t xml:space="preserve"> </w:t>
      </w:r>
    </w:p>
    <w:p w:rsidR="00A51B8B" w:rsidRDefault="00A51B8B" w:rsidP="00383A13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Váhy pro jednotlivá období jsou počítány z definice váženého průměru:</w:t>
      </w:r>
      <w:r w:rsidRPr="00A51B8B">
        <w:t xml:space="preserve"> </w:t>
      </w:r>
    </w:p>
    <w:p w:rsidR="00A51B8B" w:rsidRDefault="0035719B" w:rsidP="00383A13">
      <w:pPr>
        <w:spacing w:line="360" w:lineRule="auto"/>
        <w:jc w:val="both"/>
        <w:rPr>
          <w:noProof/>
          <w:lang w:eastAsia="cs-CZ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noProof/>
                  <w:lang w:eastAsia="cs-CZ"/>
                </w:rPr>
              </m:ctrlPr>
            </m:accPr>
            <m:e>
              <m:r>
                <w:rPr>
                  <w:rFonts w:ascii="Cambria Math" w:hAnsi="Cambria Math"/>
                  <w:noProof/>
                  <w:lang w:eastAsia="cs-CZ"/>
                </w:rPr>
                <m:t>x</m:t>
              </m:r>
            </m:e>
          </m:acc>
          <m:r>
            <w:rPr>
              <w:rFonts w:ascii="Cambria Math" w:hAnsi="Cambria Math"/>
              <w:noProof/>
              <w:lang w:eastAsia="cs-CZ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lang w:eastAsia="cs-CZ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eastAsia="cs-CZ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eastAsia="cs-CZ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noProof/>
                      <w:lang w:eastAsia="cs-CZ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lang w:eastAsia="cs-CZ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eastAsia="cs-CZ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cs-CZ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3C5E4E" w:rsidRDefault="00A51B8B" w:rsidP="00383A13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Kde </w:t>
      </w:r>
      <w:r w:rsidRPr="00A51B8B">
        <w:rPr>
          <w:i/>
          <w:noProof/>
          <w:lang w:eastAsia="cs-CZ"/>
        </w:rPr>
        <w:t>w</w:t>
      </w:r>
      <w:r w:rsidRPr="00A51B8B">
        <w:rPr>
          <w:i/>
          <w:noProof/>
          <w:vertAlign w:val="subscript"/>
          <w:lang w:eastAsia="cs-CZ"/>
        </w:rPr>
        <w:t>i</w:t>
      </w:r>
      <w:r>
        <w:rPr>
          <w:noProof/>
          <w:lang w:eastAsia="cs-CZ"/>
        </w:rPr>
        <w:t xml:space="preserve"> </w:t>
      </w:r>
      <w:r w:rsidR="00E62BA7">
        <w:rPr>
          <w:noProof/>
          <w:lang w:eastAsia="cs-CZ"/>
        </w:rPr>
        <w:t xml:space="preserve">jsou váhy </w:t>
      </w:r>
      <w:r w:rsidR="002D43B4">
        <w:rPr>
          <w:noProof/>
          <w:lang w:eastAsia="cs-CZ"/>
        </w:rPr>
        <w:t xml:space="preserve">pro </w:t>
      </w:r>
      <w:r w:rsidR="00E62BA7">
        <w:rPr>
          <w:noProof/>
          <w:lang w:eastAsia="cs-CZ"/>
        </w:rPr>
        <w:t xml:space="preserve">jednotlivá období a </w:t>
      </w:r>
      <w:r w:rsidR="00E62BA7" w:rsidRPr="00E62BA7">
        <w:rPr>
          <w:i/>
          <w:noProof/>
          <w:lang w:eastAsia="cs-CZ"/>
        </w:rPr>
        <w:t>x</w:t>
      </w:r>
      <w:r w:rsidR="00E62BA7" w:rsidRPr="00E62BA7">
        <w:rPr>
          <w:i/>
          <w:noProof/>
          <w:vertAlign w:val="subscript"/>
          <w:lang w:eastAsia="cs-CZ"/>
        </w:rPr>
        <w:t>i</w:t>
      </w:r>
      <w:r w:rsidR="00E62BA7">
        <w:rPr>
          <w:noProof/>
          <w:lang w:eastAsia="cs-CZ"/>
        </w:rPr>
        <w:t xml:space="preserve"> pak</w:t>
      </w:r>
      <w:r>
        <w:rPr>
          <w:noProof/>
          <w:lang w:eastAsia="cs-CZ"/>
        </w:rPr>
        <w:t xml:space="preserve"> </w:t>
      </w:r>
      <w:r w:rsidR="00E62BA7">
        <w:rPr>
          <w:noProof/>
          <w:lang w:eastAsia="cs-CZ"/>
        </w:rPr>
        <w:t>průměrovan</w:t>
      </w:r>
      <w:r w:rsidR="00F8276F">
        <w:rPr>
          <w:noProof/>
          <w:lang w:eastAsia="cs-CZ"/>
        </w:rPr>
        <w:t>é</w:t>
      </w:r>
      <w:r w:rsidR="00E62BA7">
        <w:rPr>
          <w:noProof/>
          <w:lang w:eastAsia="cs-CZ"/>
        </w:rPr>
        <w:t xml:space="preserve"> hodnot</w:t>
      </w:r>
      <w:r w:rsidR="00F8276F">
        <w:rPr>
          <w:noProof/>
          <w:lang w:eastAsia="cs-CZ"/>
        </w:rPr>
        <w:t>y</w:t>
      </w:r>
      <w:r w:rsidR="00E62BA7">
        <w:rPr>
          <w:noProof/>
          <w:lang w:eastAsia="cs-CZ"/>
        </w:rPr>
        <w:t xml:space="preserve">. Průměrovanou hodnotou v našem případem není přímo hodnota indexu PI, ale je to reciproká hodnota indexu PI (neboli 1/PI). </w:t>
      </w:r>
    </w:p>
    <w:p w:rsidR="00A51B8B" w:rsidRDefault="00E62BA7" w:rsidP="00383A13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V</w:t>
      </w:r>
      <w:r w:rsidR="00DF6159">
        <w:rPr>
          <w:noProof/>
          <w:lang w:eastAsia="cs-CZ"/>
        </w:rPr>
        <w:t> </w:t>
      </w:r>
      <w:r w:rsidR="00383A13">
        <w:rPr>
          <w:noProof/>
          <w:lang w:eastAsia="cs-CZ"/>
        </w:rPr>
        <w:t>ilustračním případě pro vy</w:t>
      </w:r>
      <w:r>
        <w:rPr>
          <w:noProof/>
          <w:lang w:eastAsia="cs-CZ"/>
        </w:rPr>
        <w:t xml:space="preserve">počtení TWPI je tedy výsledná hodnota velmi ovlivněna </w:t>
      </w:r>
      <w:r w:rsidR="00F8276F">
        <w:rPr>
          <w:noProof/>
          <w:lang w:eastAsia="cs-CZ"/>
        </w:rPr>
        <w:t>nejnižší hodnotou indexu PI, která ovlivňuje přežívání exempláře nejvyšší měrou.</w:t>
      </w:r>
    </w:p>
    <w:p w:rsidR="00A51B8B" w:rsidRDefault="00383A13" w:rsidP="00383A13">
      <w:pPr>
        <w:spacing w:line="360" w:lineRule="auto"/>
        <w:jc w:val="both"/>
        <w:rPr>
          <w:noProof/>
          <w:lang w:eastAsia="cs-CZ"/>
        </w:rPr>
      </w:pPr>
      <w:r w:rsidRPr="00383A13">
        <w:rPr>
          <w:noProof/>
          <w:lang w:eastAsia="cs-CZ"/>
        </w:rPr>
        <w:lastRenderedPageBreak/>
        <w:drawing>
          <wp:inline distT="0" distB="0" distL="0" distR="0">
            <wp:extent cx="5760720" cy="3337861"/>
            <wp:effectExtent l="19050" t="0" r="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446" w:rsidRPr="00CA7446">
        <w:rPr>
          <w:noProof/>
          <w:lang w:eastAsia="cs-CZ"/>
        </w:rPr>
        <w:t xml:space="preserve"> </w:t>
      </w:r>
    </w:p>
    <w:p w:rsidR="00A51B8B" w:rsidRDefault="00F8276F" w:rsidP="00383A13">
      <w:pPr>
        <w:spacing w:line="360" w:lineRule="auto"/>
        <w:jc w:val="both"/>
      </w:pPr>
      <w:r>
        <w:t>Uživatel po vypočtení hodnoty TWPI může tuto hodnotu nechat program přenést do dialogového okna pro výpočet minimálního počtu přežívajících svazků</w:t>
      </w:r>
      <w:r w:rsidR="00973DC3">
        <w:t xml:space="preserve"> (kliknutím na modré tlačítko)</w:t>
      </w:r>
      <w:r>
        <w:t>, vrátit se k předchozímu výpočtu indexu PI z klimatických dat</w:t>
      </w:r>
      <w:r w:rsidR="00973DC3">
        <w:t xml:space="preserve"> (horní šedé tlačítko)</w:t>
      </w:r>
      <w:r>
        <w:t>, nebo program ukončit</w:t>
      </w:r>
      <w:r w:rsidR="00973DC3">
        <w:t xml:space="preserve"> (černé tlačítko)</w:t>
      </w:r>
      <w:r>
        <w:t>.</w:t>
      </w:r>
    </w:p>
    <w:p w:rsidR="00F8276F" w:rsidRDefault="00CA7446" w:rsidP="00383A13">
      <w:pPr>
        <w:spacing w:line="360" w:lineRule="auto"/>
        <w:jc w:val="both"/>
      </w:pPr>
      <w:r>
        <w:t xml:space="preserve">Pokud </w:t>
      </w:r>
      <w:r w:rsidR="00F8276F">
        <w:t xml:space="preserve">uživatel </w:t>
      </w:r>
      <w:r>
        <w:t>zvolí</w:t>
      </w:r>
      <w:r w:rsidR="00F8276F">
        <w:t xml:space="preserve"> Výpočet minimálního počtu přežívajících exemplářů</w:t>
      </w:r>
      <w:r>
        <w:t>, otevře se dialogové okno nastavené pro tento výpočet</w:t>
      </w:r>
      <w:r w:rsidR="00973DC3">
        <w:t>.</w:t>
      </w:r>
    </w:p>
    <w:p w:rsidR="00973DC3" w:rsidRDefault="00973DC3" w:rsidP="00383A13">
      <w:pPr>
        <w:spacing w:line="360" w:lineRule="auto"/>
        <w:jc w:val="both"/>
      </w:pPr>
    </w:p>
    <w:p w:rsidR="00973DC3" w:rsidRDefault="00973DC3" w:rsidP="00693026">
      <w:pPr>
        <w:pStyle w:val="Nadpis2"/>
        <w:spacing w:line="360" w:lineRule="auto"/>
        <w:ind w:left="360"/>
        <w:jc w:val="both"/>
      </w:pPr>
      <w:r>
        <w:t>Minimální počet přežívajících svazků</w:t>
      </w:r>
    </w:p>
    <w:p w:rsidR="00973DC3" w:rsidRPr="00973DC3" w:rsidRDefault="00973DC3" w:rsidP="00383A13">
      <w:pPr>
        <w:spacing w:line="360" w:lineRule="auto"/>
        <w:jc w:val="both"/>
      </w:pPr>
      <w:r>
        <w:t>Dialogové okno pro výpočet minimálního počtu přežívajících svazků je svým stylem odpovídající předchozím dialogovým oknům, obsahuje opět v horní části tlačítko pro „Návrat na předchozí výpočet PI“. Opět je zde přítomno černé tlačítko pro okamžité ukončení programu a návrat do Windows.</w:t>
      </w:r>
    </w:p>
    <w:p w:rsidR="00F8276F" w:rsidRDefault="00CA7446" w:rsidP="009D7062">
      <w:pPr>
        <w:spacing w:line="36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165049" cy="4011283"/>
            <wp:effectExtent l="0" t="0" r="6985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995" cy="40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8D" w:rsidRDefault="00F8276F" w:rsidP="00383A13">
      <w:pPr>
        <w:spacing w:line="360" w:lineRule="auto"/>
        <w:jc w:val="both"/>
      </w:pPr>
      <w:r>
        <w:t xml:space="preserve">Uživatel </w:t>
      </w:r>
      <w:r w:rsidR="00973DC3">
        <w:t xml:space="preserve">zde </w:t>
      </w:r>
      <w:r>
        <w:t>může ručně zadat hodnotu indexu PI</w:t>
      </w:r>
      <w:r w:rsidR="00973DC3">
        <w:t xml:space="preserve">, </w:t>
      </w:r>
      <w:r>
        <w:t>pokud hodnotu nepřenes</w:t>
      </w:r>
      <w:r w:rsidR="00973DC3">
        <w:t>l z výpočtu indexu PI nebo TWPI, pokud tuto hodnotu přenesl</w:t>
      </w:r>
      <w:r w:rsidR="00383A13">
        <w:t xml:space="preserve"> a chce se k ní vrátit po manuální </w:t>
      </w:r>
      <w:r w:rsidR="00973DC3">
        <w:t>změně, je</w:t>
      </w:r>
      <w:r w:rsidR="00E12F9C">
        <w:t xml:space="preserve"> </w:t>
      </w:r>
      <w:r w:rsidR="00973DC3">
        <w:t xml:space="preserve">možné stisknout tlačítko „Původní hodnota“ a program ji </w:t>
      </w:r>
      <w:r w:rsidR="00982EA2">
        <w:t>dosadí tak, jak byla přenesena. D</w:t>
      </w:r>
      <w:r>
        <w:t>ále</w:t>
      </w:r>
      <w:r w:rsidR="00982EA2">
        <w:t xml:space="preserve"> zde uživatel</w:t>
      </w:r>
      <w:r>
        <w:t xml:space="preserve"> musí nezbytně zadat předpoklad pro budoucí (požadovanou) hodnotu ztrátovosti</w:t>
      </w:r>
      <w:r w:rsidR="00982EA2">
        <w:t xml:space="preserve"> svazků</w:t>
      </w:r>
      <w:r>
        <w:t xml:space="preserve"> do odpovídajících polí, pro ilustraci je zvoleno 100 svazků z celkového počtu 5</w:t>
      </w:r>
      <w:r w:rsidR="0026452D">
        <w:t>.0</w:t>
      </w:r>
      <w:r>
        <w:t>00.000</w:t>
      </w:r>
      <w:r w:rsidR="007031EC">
        <w:t xml:space="preserve"> svazků</w:t>
      </w:r>
      <w:r w:rsidR="00383A13">
        <w:t xml:space="preserve"> - každá instituce by měla tyto údaje mít k dispozici</w:t>
      </w:r>
      <w:r w:rsidR="007031EC">
        <w:t>. Kliknutím na tlačítko šipky je spočtena požadovaná pravděpodobnost, že přežívající svazky skutečně přežijí. Pro výp</w:t>
      </w:r>
      <w:r w:rsidR="0026452D">
        <w:t xml:space="preserve">očet </w:t>
      </w:r>
      <w:r w:rsidR="00CA7446">
        <w:t xml:space="preserve">požadované </w:t>
      </w:r>
      <w:r w:rsidR="0026452D">
        <w:t>pravděpodobnost</w:t>
      </w:r>
      <w:r w:rsidR="00CA7446">
        <w:t>i</w:t>
      </w:r>
      <w:r w:rsidR="007031EC">
        <w:t xml:space="preserve">, že exemplář přežije, vycházíme z předpokladu, že čím bude větší počet ztracených svazků, tím bude požadovaná pravděpodobnost klesat. Při snižování hodnoty námi požadované pravděpodobnosti, že exemplář skutečně přežije, neboli pokud slevujeme z požadavku, aby byla naprostá (100 %) jistota, že exemplář přežije, </w:t>
      </w:r>
      <w:r w:rsidR="00D93D20">
        <w:t xml:space="preserve">slevujeme (snižuje se) z minimálního počtu přežívajících svazků. </w:t>
      </w:r>
      <w:r w:rsidR="00982EA2">
        <w:t>Jinak</w:t>
      </w:r>
      <w:r w:rsidR="00D93D20">
        <w:t xml:space="preserve"> řečeno, chceme</w:t>
      </w:r>
      <w:r w:rsidR="0026452D">
        <w:t>-li</w:t>
      </w:r>
      <w:r w:rsidR="00D93D20">
        <w:t xml:space="preserve"> mít jistotu (vysokou pravděpodobnost), že exemplář přežije, pak musíme zvýšit minimální počet uchovávaných svazků.</w:t>
      </w:r>
      <w:r w:rsidR="00BB348D" w:rsidDel="00BB348D">
        <w:t xml:space="preserve"> </w:t>
      </w:r>
    </w:p>
    <w:p w:rsidR="00982EA2" w:rsidRDefault="00982EA2" w:rsidP="00383A13">
      <w:pPr>
        <w:spacing w:line="360" w:lineRule="auto"/>
        <w:jc w:val="both"/>
      </w:pPr>
      <w:r>
        <w:t>Po zadání veškerých nezbytných hodnot je možné kliknout na tlačítko „Spočítat“ a ve spodním políčku je zobrazena celočíselná hodnota, která říká, jaký je minimální počet svazků, které přežijí po zadanou dobu za zvolených okolností (ztrátovostí).</w:t>
      </w:r>
    </w:p>
    <w:p w:rsidR="00BB348D" w:rsidRDefault="00BB348D" w:rsidP="00383A13">
      <w:pPr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53735" cy="3329940"/>
            <wp:effectExtent l="0" t="0" r="0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A2" w:rsidRDefault="00982EA2" w:rsidP="00820C89">
      <w:pPr>
        <w:spacing w:line="360" w:lineRule="auto"/>
        <w:jc w:val="center"/>
      </w:pPr>
    </w:p>
    <w:p w:rsidR="00BB348D" w:rsidRDefault="00BB348D" w:rsidP="00383A13">
      <w:pPr>
        <w:spacing w:line="360" w:lineRule="auto"/>
        <w:jc w:val="both"/>
      </w:pPr>
      <w:r>
        <w:t>Uživateli se zobrazí nápověda, pokud myší přejede přes políčka, která je možné vysvětlit.</w:t>
      </w:r>
      <w:r w:rsidR="00982EA2">
        <w:t xml:space="preserve"> Pro ilustraci po najetí myší na políčko se skutečným počtem ztracených svazků se uživateli zobrazí bublinová nápověda s vysvětlením, co právě toto políčko zachycuje.</w:t>
      </w:r>
    </w:p>
    <w:p w:rsidR="00BB348D" w:rsidRDefault="00BB348D" w:rsidP="00820C8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76000" cy="82460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3083" t="43964" r="57276" b="33041"/>
                    <a:stretch/>
                  </pic:blipFill>
                  <pic:spPr bwMode="auto">
                    <a:xfrm>
                      <a:off x="0" y="0"/>
                      <a:ext cx="1621059" cy="9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1EC" w:rsidRDefault="007031EC" w:rsidP="00383A13">
      <w:pPr>
        <w:jc w:val="both"/>
      </w:pPr>
    </w:p>
    <w:p w:rsidR="00F8276F" w:rsidRDefault="00820C89" w:rsidP="00383A13">
      <w:pPr>
        <w:jc w:val="both"/>
      </w:pPr>
      <w:r>
        <w:t xml:space="preserve">V případě nejasností a problémů s používáním programu kontaktujte autory. </w:t>
      </w:r>
    </w:p>
    <w:p w:rsidR="00693026" w:rsidRDefault="00693026" w:rsidP="00693026">
      <w:pPr>
        <w:pStyle w:val="Nadpis2"/>
        <w:numPr>
          <w:ilvl w:val="0"/>
          <w:numId w:val="2"/>
        </w:numPr>
      </w:pPr>
      <w:r>
        <w:t>Odkazy na literaturu:</w:t>
      </w:r>
    </w:p>
    <w:p w:rsidR="00693026" w:rsidRPr="00857B8A" w:rsidRDefault="00693026" w:rsidP="0069302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857B8A">
        <w:rPr>
          <w:rFonts w:eastAsia="Times New Roman" w:cs="Times New Roman"/>
          <w:sz w:val="24"/>
          <w:szCs w:val="24"/>
          <w:lang w:eastAsia="cs-CZ"/>
        </w:rPr>
        <w:t>http://www.clir.org/pubs/reports/pub59/pub59.pdf</w:t>
      </w:r>
    </w:p>
    <w:p w:rsidR="00693026" w:rsidRPr="00857B8A" w:rsidRDefault="00693026" w:rsidP="0069302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857B8A">
        <w:rPr>
          <w:rFonts w:eastAsia="Times New Roman" w:cs="Times New Roman"/>
          <w:sz w:val="24"/>
          <w:szCs w:val="24"/>
          <w:lang w:eastAsia="cs-CZ"/>
        </w:rPr>
        <w:t>http://www.conservationphysics.org/twpi/twpi_01.php</w:t>
      </w:r>
    </w:p>
    <w:p w:rsidR="00693026" w:rsidRPr="00857B8A" w:rsidRDefault="00693026" w:rsidP="0069302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857B8A">
        <w:rPr>
          <w:rFonts w:eastAsia="Times New Roman" w:cs="Times New Roman"/>
          <w:sz w:val="24"/>
          <w:szCs w:val="24"/>
          <w:lang w:eastAsia="cs-CZ"/>
        </w:rPr>
        <w:t>http://www.conservationphysics.org/twpi/twpi_02.php</w:t>
      </w:r>
    </w:p>
    <w:p w:rsidR="00693026" w:rsidRPr="00857B8A" w:rsidRDefault="00693026" w:rsidP="0069302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857B8A">
        <w:rPr>
          <w:rFonts w:eastAsia="Times New Roman" w:cs="Times New Roman"/>
          <w:sz w:val="24"/>
          <w:szCs w:val="24"/>
          <w:lang w:eastAsia="cs-CZ"/>
        </w:rPr>
        <w:t>http://unfacilitated.preservation101.org/session4/prac_environ-storage.asp</w:t>
      </w:r>
    </w:p>
    <w:p w:rsidR="00693026" w:rsidRPr="00857B8A" w:rsidRDefault="00693026" w:rsidP="0069302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857B8A">
        <w:rPr>
          <w:rFonts w:eastAsia="Times New Roman" w:cs="Times New Roman"/>
          <w:sz w:val="24"/>
          <w:szCs w:val="24"/>
          <w:lang w:eastAsia="cs-CZ"/>
        </w:rPr>
        <w:t>https://www.imagepermanenceinstitute.org/webfm_send/316</w:t>
      </w:r>
    </w:p>
    <w:p w:rsidR="00693026" w:rsidRDefault="00693026" w:rsidP="00383A13">
      <w:pPr>
        <w:jc w:val="right"/>
      </w:pPr>
    </w:p>
    <w:p w:rsidR="00182C04" w:rsidRDefault="00182C04" w:rsidP="00693026">
      <w:pPr>
        <w:jc w:val="right"/>
        <w:rPr>
          <w:rFonts w:eastAsiaTheme="minorEastAsia"/>
        </w:rPr>
      </w:pPr>
      <w:r>
        <w:t>© Ing. Tomáš Godula, Ph.D.</w:t>
      </w:r>
    </w:p>
    <w:sectPr w:rsidR="00182C04" w:rsidSect="009556C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90" w:rsidRDefault="00444B90" w:rsidP="00383A13">
      <w:pPr>
        <w:spacing w:after="0" w:line="240" w:lineRule="auto"/>
      </w:pPr>
      <w:r>
        <w:separator/>
      </w:r>
    </w:p>
  </w:endnote>
  <w:endnote w:type="continuationSeparator" w:id="0">
    <w:p w:rsidR="00444B90" w:rsidRDefault="00444B90" w:rsidP="0038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41002"/>
      <w:docPartObj>
        <w:docPartGallery w:val="Page Numbers (Bottom of Page)"/>
        <w:docPartUnique/>
      </w:docPartObj>
    </w:sdtPr>
    <w:sdtEndPr/>
    <w:sdtContent>
      <w:p w:rsidR="00383A13" w:rsidRDefault="0035719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A13" w:rsidRDefault="00383A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90" w:rsidRDefault="00444B90" w:rsidP="00383A13">
      <w:pPr>
        <w:spacing w:after="0" w:line="240" w:lineRule="auto"/>
      </w:pPr>
      <w:r>
        <w:separator/>
      </w:r>
    </w:p>
  </w:footnote>
  <w:footnote w:type="continuationSeparator" w:id="0">
    <w:p w:rsidR="00444B90" w:rsidRDefault="00444B90" w:rsidP="0038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FB7"/>
    <w:multiLevelType w:val="hybridMultilevel"/>
    <w:tmpl w:val="DCE4C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30D2"/>
    <w:multiLevelType w:val="hybridMultilevel"/>
    <w:tmpl w:val="A740C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2987"/>
    <w:multiLevelType w:val="hybridMultilevel"/>
    <w:tmpl w:val="A944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BD7"/>
    <w:rsid w:val="00022BD7"/>
    <w:rsid w:val="000738C8"/>
    <w:rsid w:val="00101DBA"/>
    <w:rsid w:val="00105F30"/>
    <w:rsid w:val="00182C04"/>
    <w:rsid w:val="001B3378"/>
    <w:rsid w:val="00251888"/>
    <w:rsid w:val="00251C43"/>
    <w:rsid w:val="0026452D"/>
    <w:rsid w:val="002D43B4"/>
    <w:rsid w:val="002E52E9"/>
    <w:rsid w:val="0035719B"/>
    <w:rsid w:val="00375F28"/>
    <w:rsid w:val="00383A13"/>
    <w:rsid w:val="003C4B9D"/>
    <w:rsid w:val="003C5756"/>
    <w:rsid w:val="003C5E4E"/>
    <w:rsid w:val="003E0EDD"/>
    <w:rsid w:val="00403173"/>
    <w:rsid w:val="004267A7"/>
    <w:rsid w:val="004342CA"/>
    <w:rsid w:val="00444B90"/>
    <w:rsid w:val="004D486A"/>
    <w:rsid w:val="0051731D"/>
    <w:rsid w:val="00521A94"/>
    <w:rsid w:val="005F5986"/>
    <w:rsid w:val="0063311D"/>
    <w:rsid w:val="006809F7"/>
    <w:rsid w:val="00693026"/>
    <w:rsid w:val="0069622E"/>
    <w:rsid w:val="006A10CD"/>
    <w:rsid w:val="007031EC"/>
    <w:rsid w:val="0075740B"/>
    <w:rsid w:val="007C24F8"/>
    <w:rsid w:val="00802050"/>
    <w:rsid w:val="0080493C"/>
    <w:rsid w:val="008079ED"/>
    <w:rsid w:val="00820C89"/>
    <w:rsid w:val="00866114"/>
    <w:rsid w:val="00871611"/>
    <w:rsid w:val="008F3C46"/>
    <w:rsid w:val="00925301"/>
    <w:rsid w:val="00927A01"/>
    <w:rsid w:val="00935FC8"/>
    <w:rsid w:val="009556C1"/>
    <w:rsid w:val="00966B42"/>
    <w:rsid w:val="00973DC3"/>
    <w:rsid w:val="009806AC"/>
    <w:rsid w:val="00982EA2"/>
    <w:rsid w:val="009D7062"/>
    <w:rsid w:val="009E69AE"/>
    <w:rsid w:val="00A156BA"/>
    <w:rsid w:val="00A51B8B"/>
    <w:rsid w:val="00A946F3"/>
    <w:rsid w:val="00AF5004"/>
    <w:rsid w:val="00B00762"/>
    <w:rsid w:val="00B211A1"/>
    <w:rsid w:val="00B22100"/>
    <w:rsid w:val="00B27F43"/>
    <w:rsid w:val="00B5751C"/>
    <w:rsid w:val="00B65370"/>
    <w:rsid w:val="00BA2740"/>
    <w:rsid w:val="00BB348D"/>
    <w:rsid w:val="00BE1FF4"/>
    <w:rsid w:val="00BF0A16"/>
    <w:rsid w:val="00C31163"/>
    <w:rsid w:val="00C31544"/>
    <w:rsid w:val="00C6244B"/>
    <w:rsid w:val="00C75D1C"/>
    <w:rsid w:val="00CA7446"/>
    <w:rsid w:val="00D02BEB"/>
    <w:rsid w:val="00D85457"/>
    <w:rsid w:val="00D93D20"/>
    <w:rsid w:val="00D964A0"/>
    <w:rsid w:val="00DA1F56"/>
    <w:rsid w:val="00DC39B9"/>
    <w:rsid w:val="00DF6159"/>
    <w:rsid w:val="00E12F9C"/>
    <w:rsid w:val="00E2583D"/>
    <w:rsid w:val="00E62BA7"/>
    <w:rsid w:val="00E67C61"/>
    <w:rsid w:val="00F358E0"/>
    <w:rsid w:val="00F8276F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2DED4-CC6E-4FEE-BEEB-58D1AAA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6C1"/>
  </w:style>
  <w:style w:type="paragraph" w:styleId="Nadpis1">
    <w:name w:val="heading 1"/>
    <w:basedOn w:val="Normln"/>
    <w:next w:val="Normln"/>
    <w:link w:val="Nadpis1Char"/>
    <w:uiPriority w:val="9"/>
    <w:qFormat/>
    <w:rsid w:val="00D9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D964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7A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3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A13"/>
  </w:style>
  <w:style w:type="paragraph" w:styleId="Zpat">
    <w:name w:val="footer"/>
    <w:basedOn w:val="Normln"/>
    <w:link w:val="ZpatChar"/>
    <w:uiPriority w:val="99"/>
    <w:unhideWhenUsed/>
    <w:rsid w:val="003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A13"/>
  </w:style>
  <w:style w:type="paragraph" w:styleId="Odstavecseseznamem">
    <w:name w:val="List Paragraph"/>
    <w:basedOn w:val="Normln"/>
    <w:uiPriority w:val="34"/>
    <w:qFormat/>
    <w:rsid w:val="0069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Vandasová Anna</cp:lastModifiedBy>
  <cp:revision>5</cp:revision>
  <cp:lastPrinted>2015-11-11T06:59:00Z</cp:lastPrinted>
  <dcterms:created xsi:type="dcterms:W3CDTF">2015-11-08T09:20:00Z</dcterms:created>
  <dcterms:modified xsi:type="dcterms:W3CDTF">2015-11-11T07:01:00Z</dcterms:modified>
</cp:coreProperties>
</file>